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0252" w14:textId="77777777" w:rsidR="00A32665" w:rsidRPr="00F8382C" w:rsidRDefault="00A32665" w:rsidP="00A32665">
      <w:pPr>
        <w:pStyle w:val="NormalWeb"/>
        <w:spacing w:before="0" w:beforeAutospacing="0" w:after="0" w:afterAutospacing="0"/>
        <w:jc w:val="center"/>
        <w:rPr>
          <w:sz w:val="22"/>
          <w:szCs w:val="22"/>
        </w:rPr>
      </w:pPr>
      <w:bookmarkStart w:id="0" w:name="_Hlk85192118"/>
      <w:bookmarkEnd w:id="0"/>
      <w:r w:rsidRPr="00F8382C">
        <w:rPr>
          <w:color w:val="0070C0"/>
          <w:sz w:val="56"/>
          <w:szCs w:val="56"/>
          <w14:shadow w14:blurRad="50800" w14:dist="38100" w14:dir="2700000" w14:sx="100000" w14:sy="100000" w14:kx="0" w14:ky="0" w14:algn="tl">
            <w14:srgbClr w14:val="000000">
              <w14:alpha w14:val="60000"/>
            </w14:srgbClr>
          </w14:shadow>
        </w:rPr>
        <w:t>S'TEAM TPE Formations</w:t>
      </w:r>
    </w:p>
    <w:p w14:paraId="20E6BDC9" w14:textId="6346D320" w:rsidR="00A32665" w:rsidRPr="00B47A1D" w:rsidRDefault="00A32665" w:rsidP="00A32665">
      <w:pPr>
        <w:pStyle w:val="NormalWeb"/>
        <w:spacing w:before="0" w:beforeAutospacing="0" w:after="0" w:afterAutospacing="0"/>
        <w:jc w:val="center"/>
        <w:rPr>
          <w:rFonts w:asciiTheme="minorHAnsi" w:hAnsiTheme="minorHAnsi" w:cstheme="minorHAnsi"/>
          <w:color w:val="0070C0"/>
          <w:sz w:val="18"/>
          <w:szCs w:val="18"/>
        </w:rPr>
      </w:pPr>
      <w:r w:rsidRPr="00B47A1D">
        <w:rPr>
          <w:rFonts w:asciiTheme="minorHAnsi" w:hAnsiTheme="minorHAnsi" w:cstheme="minorHAnsi"/>
          <w:color w:val="0070C0"/>
          <w:sz w:val="18"/>
          <w:szCs w:val="18"/>
        </w:rPr>
        <w:t xml:space="preserve">ZA La Grenouillère </w:t>
      </w:r>
      <w:r w:rsidR="00B47A1D" w:rsidRPr="00B47A1D">
        <w:rPr>
          <w:rFonts w:asciiTheme="minorHAnsi" w:hAnsiTheme="minorHAnsi" w:cstheme="minorHAnsi"/>
          <w:color w:val="0070C0"/>
          <w:sz w:val="18"/>
          <w:szCs w:val="18"/>
        </w:rPr>
        <w:t>– 2 rue de l’Ecusset -</w:t>
      </w:r>
      <w:r w:rsidRPr="00B47A1D">
        <w:rPr>
          <w:rFonts w:asciiTheme="minorHAnsi" w:hAnsiTheme="minorHAnsi" w:cstheme="minorHAnsi"/>
          <w:color w:val="0070C0"/>
          <w:sz w:val="18"/>
          <w:szCs w:val="18"/>
        </w:rPr>
        <w:t xml:space="preserve"> 22240 FRÉHEL </w:t>
      </w:r>
    </w:p>
    <w:p w14:paraId="3171825C" w14:textId="602E3750" w:rsidR="00A32665" w:rsidRDefault="009C7B63" w:rsidP="00A32665">
      <w:pPr>
        <w:spacing w:after="375" w:line="240" w:lineRule="auto"/>
        <w:jc w:val="both"/>
        <w:rPr>
          <w:rFonts w:eastAsia="Times New Roman" w:cstheme="minorHAnsi"/>
          <w:lang w:eastAsia="fr-FR"/>
        </w:rPr>
      </w:pPr>
      <w:r>
        <w:rPr>
          <w:rFonts w:eastAsia="Times New Roman" w:cstheme="minorHAnsi"/>
          <w:noProof/>
          <w:lang w:eastAsia="fr-FR"/>
        </w:rPr>
        <w:drawing>
          <wp:anchor distT="0" distB="0" distL="114300" distR="114300" simplePos="0" relativeHeight="251658240" behindDoc="0" locked="0" layoutInCell="1" allowOverlap="1" wp14:anchorId="7615A02A" wp14:editId="11397886">
            <wp:simplePos x="0" y="0"/>
            <wp:positionH relativeFrom="column">
              <wp:posOffset>33655</wp:posOffset>
            </wp:positionH>
            <wp:positionV relativeFrom="paragraph">
              <wp:posOffset>135890</wp:posOffset>
            </wp:positionV>
            <wp:extent cx="1592580" cy="9448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944880"/>
                    </a:xfrm>
                    <a:prstGeom prst="rect">
                      <a:avLst/>
                    </a:prstGeom>
                    <a:noFill/>
                  </pic:spPr>
                </pic:pic>
              </a:graphicData>
            </a:graphic>
            <wp14:sizeRelH relativeFrom="page">
              <wp14:pctWidth>0</wp14:pctWidth>
            </wp14:sizeRelH>
            <wp14:sizeRelV relativeFrom="page">
              <wp14:pctHeight>0</wp14:pctHeight>
            </wp14:sizeRelV>
          </wp:anchor>
        </w:drawing>
      </w:r>
    </w:p>
    <w:p w14:paraId="574D0525" w14:textId="2668DC8C" w:rsidR="00A32665" w:rsidRDefault="00A32665" w:rsidP="00A32665">
      <w:pPr>
        <w:spacing w:after="375" w:line="240" w:lineRule="auto"/>
        <w:jc w:val="both"/>
        <w:rPr>
          <w:rFonts w:eastAsia="Times New Roman" w:cstheme="minorHAnsi"/>
          <w:lang w:eastAsia="fr-FR"/>
        </w:rPr>
      </w:pPr>
    </w:p>
    <w:p w14:paraId="2EBDEB08" w14:textId="3BC508C4" w:rsidR="009C7B63" w:rsidRPr="00A32665" w:rsidRDefault="009C7B63" w:rsidP="00A32665">
      <w:pPr>
        <w:spacing w:after="375" w:line="240" w:lineRule="auto"/>
        <w:jc w:val="both"/>
        <w:rPr>
          <w:rFonts w:eastAsia="Times New Roman" w:cstheme="minorHAnsi"/>
          <w:lang w:eastAsia="fr-FR"/>
        </w:rPr>
      </w:pPr>
    </w:p>
    <w:p w14:paraId="4DE5C5BA" w14:textId="7E92C8CC" w:rsidR="00A32665" w:rsidRPr="00A32665" w:rsidRDefault="00A32665" w:rsidP="00A32665">
      <w:pPr>
        <w:spacing w:after="375" w:line="240" w:lineRule="auto"/>
        <w:jc w:val="both"/>
        <w:rPr>
          <w:rFonts w:eastAsia="Times New Roman" w:cstheme="minorHAnsi"/>
          <w:b/>
          <w:bCs/>
          <w:color w:val="2F5496" w:themeColor="accent1" w:themeShade="BF"/>
          <w:sz w:val="24"/>
          <w:szCs w:val="24"/>
          <w:lang w:eastAsia="fr-FR"/>
        </w:rPr>
      </w:pPr>
      <w:r w:rsidRPr="00A32665">
        <w:rPr>
          <w:rFonts w:eastAsia="Times New Roman" w:cstheme="minorHAnsi"/>
          <w:b/>
          <w:bCs/>
          <w:color w:val="2F5496" w:themeColor="accent1" w:themeShade="BF"/>
          <w:sz w:val="24"/>
          <w:szCs w:val="24"/>
          <w:lang w:eastAsia="fr-FR"/>
        </w:rPr>
        <w:t>QUALIOPI - KESAKO ?</w:t>
      </w:r>
      <w:r w:rsidR="000D07F9" w:rsidRPr="000D07F9">
        <w:rPr>
          <w:rFonts w:ascii="Calibri" w:eastAsia="Times New Roman" w:hAnsi="Calibri" w:cs="Calibri"/>
          <w:b/>
          <w:bCs/>
          <w:noProof/>
          <w:color w:val="1F3864" w:themeColor="accent1" w:themeShade="80"/>
          <w:sz w:val="32"/>
          <w:szCs w:val="32"/>
          <w:lang w:eastAsia="fr-FR"/>
        </w:rPr>
        <w:t xml:space="preserve"> </w:t>
      </w:r>
    </w:p>
    <w:p w14:paraId="0FEEBF89" w14:textId="4D27812B" w:rsidR="00A32665" w:rsidRPr="00A32665" w:rsidRDefault="00A32665" w:rsidP="00A32665">
      <w:pPr>
        <w:shd w:val="clear" w:color="auto" w:fill="FFFFFF"/>
        <w:spacing w:after="150" w:line="255" w:lineRule="atLeast"/>
        <w:jc w:val="both"/>
        <w:rPr>
          <w:rFonts w:eastAsia="Times New Roman" w:cstheme="minorHAnsi"/>
          <w:lang w:eastAsia="fr-FR"/>
        </w:rPr>
      </w:pPr>
      <w:r w:rsidRPr="00A32665">
        <w:rPr>
          <w:rFonts w:eastAsia="Times New Roman" w:cstheme="minorHAnsi"/>
          <w:lang w:eastAsia="fr-FR"/>
        </w:rPr>
        <w:t>La loi du 5 septembre 2018 instaure l’obligation de certification pour tous les prestataires proposant des actions de formation, de la formation par apprentissage, de la VAE et du bilan de compétences, intervenant sur le marché conventionnel (fonds publics et/ou fonds mutualisés/paritaires). Cette obligation se substitue au décret du 30 juin 2015 au 1</w:t>
      </w:r>
      <w:r w:rsidRPr="00A32665">
        <w:rPr>
          <w:rFonts w:eastAsia="Times New Roman" w:cstheme="minorHAnsi"/>
          <w:vertAlign w:val="superscript"/>
          <w:lang w:eastAsia="fr-FR"/>
        </w:rPr>
        <w:t>er</w:t>
      </w:r>
      <w:r w:rsidRPr="00A32665">
        <w:rPr>
          <w:rFonts w:eastAsia="Times New Roman" w:cstheme="minorHAnsi"/>
          <w:lang w:eastAsia="fr-FR"/>
        </w:rPr>
        <w:t> janvier 2022.</w:t>
      </w:r>
    </w:p>
    <w:p w14:paraId="55369720" w14:textId="77777777" w:rsidR="00A32665" w:rsidRPr="00A32665" w:rsidRDefault="00A32665" w:rsidP="00A32665">
      <w:pPr>
        <w:shd w:val="clear" w:color="auto" w:fill="FFFFFF"/>
        <w:spacing w:after="150" w:line="255" w:lineRule="atLeast"/>
        <w:jc w:val="both"/>
        <w:rPr>
          <w:rFonts w:eastAsia="Times New Roman" w:cstheme="minorHAnsi"/>
          <w:lang w:eastAsia="fr-FR"/>
        </w:rPr>
      </w:pPr>
      <w:r w:rsidRPr="00A32665">
        <w:rPr>
          <w:rFonts w:eastAsia="Times New Roman" w:cstheme="minorHAnsi"/>
          <w:lang w:eastAsia="fr-FR"/>
        </w:rPr>
        <w:t>AFNOR Certification est accréditée (attestation d’accréditation n°5-0030, portée disponible sur le site www.cofrac.fr) pour réaliser la certification selon le Référentiel National Qualité (RNQ) QUALIOPI </w:t>
      </w:r>
    </w:p>
    <w:p w14:paraId="2A5094D9" w14:textId="77777777" w:rsidR="00A32665" w:rsidRPr="00A32665" w:rsidRDefault="00A32665" w:rsidP="00A32665">
      <w:pPr>
        <w:shd w:val="clear" w:color="auto" w:fill="FFFFFF"/>
        <w:spacing w:after="150" w:line="255" w:lineRule="atLeast"/>
        <w:jc w:val="both"/>
        <w:rPr>
          <w:rFonts w:eastAsia="Times New Roman" w:cstheme="minorHAnsi"/>
          <w:lang w:eastAsia="fr-FR"/>
        </w:rPr>
      </w:pPr>
      <w:r w:rsidRPr="00A32665">
        <w:rPr>
          <w:rFonts w:eastAsia="Times New Roman" w:cstheme="minorHAnsi"/>
          <w:lang w:eastAsia="fr-FR"/>
        </w:rPr>
        <w:t>Le Référentiel National Qualité (RNQ) QUALIOPI, publié via 2 décrets, comporte 7 critères répartis en 32 indicateurs. Ces indicateurs concernent en priorité les modalités de conception et de réalisation d’une prestation.</w:t>
      </w:r>
    </w:p>
    <w:p w14:paraId="706B03B9" w14:textId="77777777" w:rsidR="00A32665" w:rsidRPr="00A32665" w:rsidRDefault="00B47A1D" w:rsidP="00A32665">
      <w:pPr>
        <w:numPr>
          <w:ilvl w:val="0"/>
          <w:numId w:val="4"/>
        </w:numPr>
        <w:shd w:val="clear" w:color="auto" w:fill="FFFFFF"/>
        <w:spacing w:before="100" w:beforeAutospacing="1" w:after="90" w:line="240" w:lineRule="auto"/>
        <w:jc w:val="both"/>
        <w:rPr>
          <w:rFonts w:eastAsia="Times New Roman" w:cstheme="minorHAnsi"/>
          <w:lang w:eastAsia="fr-FR"/>
        </w:rPr>
      </w:pPr>
      <w:hyperlink r:id="rId6" w:history="1">
        <w:r w:rsidR="00A32665" w:rsidRPr="00A32665">
          <w:rPr>
            <w:rFonts w:eastAsia="Times New Roman" w:cstheme="minorHAnsi"/>
            <w:u w:val="single"/>
            <w:lang w:eastAsia="fr-FR"/>
          </w:rPr>
          <w:t>Décret n° 2019-564 du 6 juin 2019 relatif à la qualité des actions de la formation professionnelle</w:t>
        </w:r>
      </w:hyperlink>
    </w:p>
    <w:p w14:paraId="7DB64546" w14:textId="71EE3858" w:rsidR="00A32665" w:rsidRPr="00A32665" w:rsidRDefault="00B47A1D" w:rsidP="006D560D">
      <w:pPr>
        <w:numPr>
          <w:ilvl w:val="0"/>
          <w:numId w:val="4"/>
        </w:numPr>
        <w:shd w:val="clear" w:color="auto" w:fill="FFFFFF"/>
        <w:spacing w:before="100" w:beforeAutospacing="1" w:after="240" w:line="240" w:lineRule="auto"/>
        <w:ind w:left="714" w:hanging="357"/>
        <w:jc w:val="both"/>
        <w:rPr>
          <w:rFonts w:eastAsia="Times New Roman" w:cstheme="minorHAnsi"/>
          <w:lang w:eastAsia="fr-FR"/>
        </w:rPr>
      </w:pPr>
      <w:hyperlink r:id="rId7" w:history="1">
        <w:r w:rsidR="00A32665" w:rsidRPr="00A32665">
          <w:rPr>
            <w:rFonts w:eastAsia="Times New Roman" w:cstheme="minorHAnsi"/>
            <w:u w:val="single"/>
            <w:lang w:eastAsia="fr-FR"/>
          </w:rPr>
          <w:t>Décret n° 2019-565 du 6 juin 2019 relatif au référentiel national sur la qualité des actions concourant au développement des compétences</w:t>
        </w:r>
      </w:hyperlink>
    </w:p>
    <w:p w14:paraId="0546ED28" w14:textId="37EF4F4B" w:rsidR="00A32665" w:rsidRPr="00A32665" w:rsidRDefault="00A32665" w:rsidP="00A32665">
      <w:pPr>
        <w:shd w:val="clear" w:color="auto" w:fill="FFFFFF"/>
        <w:spacing w:after="150" w:line="255" w:lineRule="atLeast"/>
        <w:jc w:val="both"/>
        <w:rPr>
          <w:rFonts w:eastAsia="Times New Roman" w:cstheme="minorHAnsi"/>
          <w:lang w:eastAsia="fr-FR"/>
        </w:rPr>
      </w:pPr>
      <w:r w:rsidRPr="00A32665">
        <w:rPr>
          <w:rFonts w:eastAsia="Times New Roman" w:cstheme="minorHAnsi"/>
          <w:lang w:eastAsia="fr-FR"/>
        </w:rPr>
        <w:t>La certification Référentiel National Qualité (RNQ) QUALIOPI s’étend sur un cycle de 3 années composé d’un audit initial et d’un audit de surveillance à mi-parcours.</w:t>
      </w:r>
    </w:p>
    <w:p w14:paraId="1CEEA161" w14:textId="77777777" w:rsidR="00A32665" w:rsidRPr="00A32665" w:rsidRDefault="00A32665" w:rsidP="00A32665">
      <w:pPr>
        <w:spacing w:after="150" w:line="240" w:lineRule="auto"/>
        <w:jc w:val="both"/>
        <w:rPr>
          <w:rFonts w:eastAsia="Times New Roman" w:cstheme="minorHAnsi"/>
          <w:lang w:eastAsia="fr-FR"/>
        </w:rPr>
      </w:pPr>
    </w:p>
    <w:p w14:paraId="7800E7A2" w14:textId="5373CF90" w:rsidR="00A32665" w:rsidRPr="00A32665" w:rsidRDefault="00A32665" w:rsidP="004029D8">
      <w:pPr>
        <w:shd w:val="clear" w:color="auto" w:fill="1F3864" w:themeFill="accent1" w:themeFillShade="80"/>
        <w:spacing w:after="150" w:line="240" w:lineRule="auto"/>
        <w:jc w:val="both"/>
        <w:rPr>
          <w:rFonts w:eastAsia="Times New Roman" w:cstheme="minorHAnsi"/>
          <w:color w:val="FFFFFF" w:themeColor="background1"/>
          <w:lang w:eastAsia="fr-FR"/>
        </w:rPr>
      </w:pPr>
      <w:r w:rsidRPr="00A32665">
        <w:rPr>
          <w:rFonts w:eastAsia="Times New Roman" w:cstheme="minorHAnsi"/>
          <w:b/>
          <w:bCs/>
          <w:color w:val="FFFFFF" w:themeColor="background1"/>
          <w:lang w:eastAsia="fr-FR"/>
        </w:rPr>
        <w:t>Sept critères objectifs de certification</w:t>
      </w:r>
    </w:p>
    <w:p w14:paraId="55C3271D" w14:textId="77777777" w:rsidR="00A32665" w:rsidRPr="00A32665" w:rsidRDefault="00A32665" w:rsidP="00A32665">
      <w:pPr>
        <w:spacing w:after="150" w:line="240" w:lineRule="auto"/>
        <w:jc w:val="both"/>
        <w:rPr>
          <w:rFonts w:eastAsia="Times New Roman" w:cstheme="minorHAnsi"/>
          <w:lang w:eastAsia="fr-FR"/>
        </w:rPr>
      </w:pPr>
      <w:r w:rsidRPr="00A32665">
        <w:rPr>
          <w:rFonts w:eastAsia="Times New Roman" w:cstheme="minorHAnsi"/>
          <w:lang w:eastAsia="fr-FR"/>
        </w:rPr>
        <w:t xml:space="preserve">La marque </w:t>
      </w:r>
      <w:proofErr w:type="spellStart"/>
      <w:r w:rsidRPr="00A32665">
        <w:rPr>
          <w:rFonts w:eastAsia="Times New Roman" w:cstheme="minorHAnsi"/>
          <w:lang w:eastAsia="fr-FR"/>
        </w:rPr>
        <w:t>Qualiopi</w:t>
      </w:r>
      <w:proofErr w:type="spellEnd"/>
      <w:r w:rsidRPr="00A32665">
        <w:rPr>
          <w:rFonts w:eastAsia="Times New Roman" w:cstheme="minorHAnsi"/>
          <w:lang w:eastAsia="fr-FR"/>
        </w:rPr>
        <w:t xml:space="preserve"> repose sur l’analyse des démarches et moyens mis en œuvre.</w:t>
      </w:r>
      <w:r w:rsidRPr="00A32665">
        <w:rPr>
          <w:rFonts w:eastAsia="Times New Roman" w:cstheme="minorHAnsi"/>
          <w:lang w:eastAsia="fr-FR"/>
        </w:rPr>
        <w:br/>
        <w:t>La reconnaissance du professionnalisme de l’organisme de formation s’appuie sur :</w:t>
      </w:r>
    </w:p>
    <w:p w14:paraId="3AC067B7"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Les conditions d’information du public </w:t>
      </w:r>
    </w:p>
    <w:p w14:paraId="0257ABB4"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L’identification précise des objectifs des prestations </w:t>
      </w:r>
    </w:p>
    <w:p w14:paraId="7862D228"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L’adaptation aux publics bénéficiaires </w:t>
      </w:r>
    </w:p>
    <w:p w14:paraId="02254A77"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L’adéquation des moyens pédagogiques </w:t>
      </w:r>
    </w:p>
    <w:p w14:paraId="6BA65A12"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La qualification et le développement des connaissances et compétences des personnels </w:t>
      </w:r>
    </w:p>
    <w:p w14:paraId="67DA5023"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L’inscription et l’investissement du prestataire dans son environnement professionnel </w:t>
      </w:r>
    </w:p>
    <w:p w14:paraId="3D413957" w14:textId="77777777" w:rsidR="00A32665" w:rsidRPr="00A32665" w:rsidRDefault="00A32665" w:rsidP="00A32665">
      <w:pPr>
        <w:numPr>
          <w:ilvl w:val="0"/>
          <w:numId w:val="1"/>
        </w:numPr>
        <w:spacing w:before="100" w:beforeAutospacing="1" w:after="100" w:afterAutospacing="1" w:line="240" w:lineRule="auto"/>
        <w:ind w:left="495"/>
        <w:jc w:val="both"/>
        <w:rPr>
          <w:rFonts w:eastAsia="Times New Roman" w:cstheme="minorHAnsi"/>
          <w:lang w:eastAsia="fr-FR"/>
        </w:rPr>
      </w:pPr>
      <w:r w:rsidRPr="00A32665">
        <w:rPr>
          <w:rFonts w:eastAsia="Times New Roman" w:cstheme="minorHAnsi"/>
          <w:lang w:eastAsia="fr-FR"/>
        </w:rPr>
        <w:t>Le recueil et la prise en compte des appréciations et des réclamations formulées par les parties prenantes aux prestations délivrées</w:t>
      </w:r>
    </w:p>
    <w:p w14:paraId="0A41844B" w14:textId="09B1C675" w:rsidR="00A32665" w:rsidRPr="00A32665" w:rsidRDefault="00A32665" w:rsidP="00A32665">
      <w:pPr>
        <w:spacing w:after="150" w:line="240" w:lineRule="auto"/>
        <w:jc w:val="both"/>
        <w:rPr>
          <w:rFonts w:eastAsia="Times New Roman" w:cstheme="minorHAnsi"/>
          <w:lang w:eastAsia="fr-FR"/>
        </w:rPr>
      </w:pPr>
      <w:r w:rsidRPr="00A32665">
        <w:rPr>
          <w:rFonts w:eastAsia="Times New Roman" w:cstheme="minorHAnsi"/>
          <w:lang w:eastAsia="fr-FR"/>
        </w:rPr>
        <w:t>Ces sept critères sont associés à 32 indicateurs, dont dix sont spécifiques à l’apprentissage et/ou aux formations certifiantes.</w:t>
      </w:r>
    </w:p>
    <w:p w14:paraId="0E7CE1E1" w14:textId="77777777" w:rsidR="00A32665" w:rsidRPr="00A32665" w:rsidRDefault="00A32665" w:rsidP="004029D8">
      <w:pPr>
        <w:shd w:val="clear" w:color="auto" w:fill="1F3864" w:themeFill="accent1" w:themeFillShade="80"/>
        <w:spacing w:after="150" w:line="240" w:lineRule="auto"/>
        <w:jc w:val="both"/>
        <w:rPr>
          <w:rFonts w:eastAsia="Times New Roman" w:cstheme="minorHAnsi"/>
          <w:lang w:eastAsia="fr-FR"/>
        </w:rPr>
      </w:pPr>
      <w:r w:rsidRPr="00A32665">
        <w:rPr>
          <w:rFonts w:eastAsia="Times New Roman" w:cstheme="minorHAnsi"/>
          <w:b/>
          <w:bCs/>
          <w:lang w:eastAsia="fr-FR"/>
        </w:rPr>
        <w:t xml:space="preserve">Pourquoi choisir un organisme de formation de la marque </w:t>
      </w:r>
      <w:proofErr w:type="spellStart"/>
      <w:r w:rsidRPr="00A32665">
        <w:rPr>
          <w:rFonts w:eastAsia="Times New Roman" w:cstheme="minorHAnsi"/>
          <w:b/>
          <w:bCs/>
          <w:lang w:eastAsia="fr-FR"/>
        </w:rPr>
        <w:t>Qualiopi</w:t>
      </w:r>
      <w:proofErr w:type="spellEnd"/>
      <w:r w:rsidRPr="00A32665">
        <w:rPr>
          <w:rFonts w:eastAsia="Times New Roman" w:cstheme="minorHAnsi"/>
          <w:b/>
          <w:bCs/>
          <w:lang w:eastAsia="fr-FR"/>
        </w:rPr>
        <w:t xml:space="preserve"> ?</w:t>
      </w:r>
    </w:p>
    <w:p w14:paraId="64DA8C78" w14:textId="267E4FC0" w:rsidR="00153DEC" w:rsidRDefault="00A32665" w:rsidP="00A32665">
      <w:pPr>
        <w:spacing w:after="150" w:line="240" w:lineRule="auto"/>
        <w:jc w:val="both"/>
        <w:rPr>
          <w:rFonts w:eastAsia="Times New Roman" w:cstheme="minorHAnsi"/>
          <w:lang w:eastAsia="fr-FR"/>
        </w:rPr>
      </w:pPr>
      <w:r w:rsidRPr="00A32665">
        <w:rPr>
          <w:rFonts w:eastAsia="Times New Roman" w:cstheme="minorHAnsi"/>
          <w:lang w:eastAsia="fr-FR"/>
        </w:rPr>
        <w:t xml:space="preserve">La marque </w:t>
      </w:r>
      <w:proofErr w:type="spellStart"/>
      <w:r w:rsidRPr="00A32665">
        <w:rPr>
          <w:rFonts w:eastAsia="Times New Roman" w:cstheme="minorHAnsi"/>
          <w:lang w:eastAsia="fr-FR"/>
        </w:rPr>
        <w:t>Qualiopi</w:t>
      </w:r>
      <w:proofErr w:type="spellEnd"/>
      <w:r w:rsidRPr="00A32665">
        <w:rPr>
          <w:rFonts w:eastAsia="Times New Roman" w:cstheme="minorHAnsi"/>
          <w:lang w:eastAsia="fr-FR"/>
        </w:rPr>
        <w:t xml:space="preserve">, est un gage de confiance et une preuve reconnue de la qualité </w:t>
      </w:r>
      <w:r w:rsidR="00A62E93">
        <w:rPr>
          <w:rFonts w:eastAsia="Times New Roman" w:cstheme="minorHAnsi"/>
          <w:lang w:eastAsia="fr-FR"/>
        </w:rPr>
        <w:t>de votre</w:t>
      </w:r>
      <w:r w:rsidRPr="00A32665">
        <w:rPr>
          <w:rFonts w:eastAsia="Times New Roman" w:cstheme="minorHAnsi"/>
          <w:lang w:eastAsia="fr-FR"/>
        </w:rPr>
        <w:t xml:space="preserve"> centre de formation </w:t>
      </w:r>
      <w:r w:rsidRPr="00A62E93">
        <w:rPr>
          <w:rFonts w:eastAsia="Times New Roman" w:cstheme="minorHAnsi"/>
          <w:b/>
          <w:bCs/>
          <w:color w:val="2F5496" w:themeColor="accent1" w:themeShade="BF"/>
          <w:lang w:eastAsia="fr-FR"/>
        </w:rPr>
        <w:t>S’TEAM TPE FORMATIONS</w:t>
      </w:r>
      <w:r w:rsidRPr="00A32665">
        <w:rPr>
          <w:rFonts w:eastAsia="Times New Roman" w:cstheme="minorHAnsi"/>
          <w:lang w:eastAsia="fr-FR"/>
        </w:rPr>
        <w:t>.</w:t>
      </w:r>
    </w:p>
    <w:p w14:paraId="2EA83962" w14:textId="77777777" w:rsidR="00A32665" w:rsidRPr="00A32665" w:rsidRDefault="00A32665" w:rsidP="00A32665">
      <w:pPr>
        <w:spacing w:after="150" w:line="240" w:lineRule="auto"/>
        <w:jc w:val="both"/>
        <w:rPr>
          <w:rFonts w:eastAsia="Times New Roman" w:cstheme="minorHAnsi"/>
          <w:lang w:eastAsia="fr-FR"/>
        </w:rPr>
      </w:pPr>
    </w:p>
    <w:p w14:paraId="7C56DAFB" w14:textId="77777777" w:rsidR="00A32665" w:rsidRPr="00F8382C" w:rsidRDefault="00A32665" w:rsidP="00A32665">
      <w:pPr>
        <w:tabs>
          <w:tab w:val="left" w:pos="1320"/>
          <w:tab w:val="center" w:pos="4536"/>
          <w:tab w:val="center" w:pos="4960"/>
          <w:tab w:val="right" w:pos="9072"/>
        </w:tabs>
        <w:spacing w:after="0" w:line="240" w:lineRule="auto"/>
        <w:jc w:val="center"/>
        <w:rPr>
          <w:rFonts w:ascii="Calibri" w:eastAsia="Calibri" w:hAnsi="Calibri" w:cs="Times New Roman"/>
          <w:color w:val="0070C0"/>
          <w:sz w:val="18"/>
          <w:szCs w:val="18"/>
        </w:rPr>
      </w:pPr>
      <w:r w:rsidRPr="00F8382C">
        <w:rPr>
          <w:rFonts w:ascii="Calibri" w:eastAsia="Calibri" w:hAnsi="Calibri" w:cs="Times New Roman"/>
          <w:color w:val="0070C0"/>
          <w:sz w:val="18"/>
          <w:szCs w:val="18"/>
        </w:rPr>
        <w:sym w:font="Wingdings" w:char="F028"/>
      </w:r>
      <w:r w:rsidRPr="00F8382C">
        <w:rPr>
          <w:rFonts w:ascii="Calibri" w:eastAsia="Calibri" w:hAnsi="Calibri" w:cs="Times New Roman"/>
          <w:color w:val="0070C0"/>
          <w:sz w:val="18"/>
          <w:szCs w:val="18"/>
        </w:rPr>
        <w:t xml:space="preserve">02 96 81 06 84 </w:t>
      </w:r>
      <w:r w:rsidRPr="00F8382C">
        <w:rPr>
          <w:rFonts w:ascii="Calibri" w:eastAsia="Calibri" w:hAnsi="Calibri" w:cs="Times New Roman"/>
          <w:color w:val="0070C0"/>
          <w:sz w:val="18"/>
          <w:szCs w:val="18"/>
        </w:rPr>
        <w:sym w:font="Wingdings" w:char="F029"/>
      </w:r>
      <w:r w:rsidRPr="00F8382C">
        <w:rPr>
          <w:rFonts w:ascii="Calibri" w:eastAsia="Calibri" w:hAnsi="Calibri" w:cs="Times New Roman"/>
          <w:color w:val="0070C0"/>
          <w:sz w:val="18"/>
          <w:szCs w:val="18"/>
        </w:rPr>
        <w:t xml:space="preserve">06 82 32 24 40 </w:t>
      </w:r>
      <w:r w:rsidRPr="00F8382C">
        <w:rPr>
          <w:rFonts w:ascii="Calibri" w:eastAsia="Calibri" w:hAnsi="Calibri" w:cs="Times New Roman"/>
          <w:color w:val="0070C0"/>
          <w:sz w:val="18"/>
          <w:szCs w:val="18"/>
        </w:rPr>
        <w:sym w:font="Wingdings" w:char="F03A"/>
      </w:r>
      <w:r w:rsidRPr="00F8382C">
        <w:rPr>
          <w:rFonts w:ascii="Calibri" w:eastAsia="Calibri" w:hAnsi="Calibri" w:cs="Times New Roman"/>
          <w:color w:val="0070C0"/>
          <w:sz w:val="18"/>
          <w:szCs w:val="18"/>
        </w:rPr>
        <w:t>contact@steamtpe.fr – www.steamtpe-22.fr</w:t>
      </w:r>
    </w:p>
    <w:p w14:paraId="2B1BC51F" w14:textId="77777777" w:rsidR="00A32665" w:rsidRPr="004863E0" w:rsidRDefault="00A32665" w:rsidP="00A32665">
      <w:pPr>
        <w:spacing w:after="0"/>
        <w:jc w:val="center"/>
        <w:rPr>
          <w:rFonts w:cs="Calibri"/>
          <w:color w:val="0070C0"/>
          <w:sz w:val="18"/>
          <w:szCs w:val="18"/>
        </w:rPr>
      </w:pPr>
      <w:r w:rsidRPr="00393AFE">
        <w:rPr>
          <w:rFonts w:cs="Calibri"/>
          <w:color w:val="0070C0"/>
          <w:sz w:val="18"/>
          <w:szCs w:val="18"/>
        </w:rPr>
        <w:t>Déclaration d’activité enregistrée sous le numéro 53220895422 auprès du préfet de région de BRETAGNE</w:t>
      </w:r>
    </w:p>
    <w:p w14:paraId="26BEAF46" w14:textId="2FFDB25C" w:rsidR="00A32665" w:rsidRPr="00A32665" w:rsidRDefault="00A32665" w:rsidP="00A32665">
      <w:pPr>
        <w:spacing w:after="0"/>
        <w:jc w:val="center"/>
        <w:rPr>
          <w:color w:val="0066FF"/>
          <w:sz w:val="18"/>
          <w:szCs w:val="18"/>
        </w:rPr>
      </w:pPr>
      <w:r>
        <w:rPr>
          <w:color w:val="0070C0"/>
          <w:sz w:val="18"/>
          <w:szCs w:val="18"/>
        </w:rPr>
        <w:t xml:space="preserve">SARL au capital de 10 000 </w:t>
      </w:r>
      <w:r>
        <w:rPr>
          <w:rFonts w:cs="Calibri"/>
          <w:color w:val="0070C0"/>
        </w:rPr>
        <w:t xml:space="preserve">€ - </w:t>
      </w:r>
      <w:r>
        <w:rPr>
          <w:color w:val="0070C0"/>
          <w:sz w:val="18"/>
          <w:szCs w:val="18"/>
        </w:rPr>
        <w:t>RCS Saint Malo 844 097 253 00018 – Code APE 8219Z – N°TVA FR 71 844 097 253</w:t>
      </w:r>
    </w:p>
    <w:sectPr w:rsidR="00A32665" w:rsidRPr="00A32665" w:rsidSect="00A32665">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3D89"/>
    <w:multiLevelType w:val="multilevel"/>
    <w:tmpl w:val="EE5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85212"/>
    <w:multiLevelType w:val="multilevel"/>
    <w:tmpl w:val="92F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2607E"/>
    <w:multiLevelType w:val="multilevel"/>
    <w:tmpl w:val="FC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B3628"/>
    <w:multiLevelType w:val="multilevel"/>
    <w:tmpl w:val="B33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65"/>
    <w:rsid w:val="000D07F9"/>
    <w:rsid w:val="00153DEC"/>
    <w:rsid w:val="00155786"/>
    <w:rsid w:val="004029D8"/>
    <w:rsid w:val="00427B9A"/>
    <w:rsid w:val="006D560D"/>
    <w:rsid w:val="009C7B63"/>
    <w:rsid w:val="00A32665"/>
    <w:rsid w:val="00A62E93"/>
    <w:rsid w:val="00B47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8F48"/>
  <w15:chartTrackingRefBased/>
  <w15:docId w15:val="{22B40C2C-CA28-4356-948A-7D1B749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326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3266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7B9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3266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32665"/>
    <w:rPr>
      <w:rFonts w:ascii="Times New Roman" w:eastAsia="Times New Roman" w:hAnsi="Times New Roman" w:cs="Times New Roman"/>
      <w:b/>
      <w:bCs/>
      <w:sz w:val="24"/>
      <w:szCs w:val="24"/>
      <w:lang w:eastAsia="fr-FR"/>
    </w:rPr>
  </w:style>
  <w:style w:type="paragraph" w:customStyle="1" w:styleId="content-justify">
    <w:name w:val="content-justify"/>
    <w:basedOn w:val="Normal"/>
    <w:rsid w:val="00A32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326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2665"/>
    <w:rPr>
      <w:b/>
      <w:bCs/>
    </w:rPr>
  </w:style>
  <w:style w:type="character" w:styleId="Lienhypertexte">
    <w:name w:val="Hyperlink"/>
    <w:basedOn w:val="Policepardfaut"/>
    <w:uiPriority w:val="99"/>
    <w:semiHidden/>
    <w:unhideWhenUsed/>
    <w:rsid w:val="00A32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69112">
      <w:bodyDiv w:val="1"/>
      <w:marLeft w:val="0"/>
      <w:marRight w:val="0"/>
      <w:marTop w:val="0"/>
      <w:marBottom w:val="0"/>
      <w:divBdr>
        <w:top w:val="none" w:sz="0" w:space="0" w:color="auto"/>
        <w:left w:val="none" w:sz="0" w:space="0" w:color="auto"/>
        <w:bottom w:val="none" w:sz="0" w:space="0" w:color="auto"/>
        <w:right w:val="none" w:sz="0" w:space="0" w:color="auto"/>
      </w:divBdr>
      <w:divsChild>
        <w:div w:id="1260022434">
          <w:marLeft w:val="0"/>
          <w:marRight w:val="0"/>
          <w:marTop w:val="0"/>
          <w:marBottom w:val="0"/>
          <w:divBdr>
            <w:top w:val="none" w:sz="0" w:space="0" w:color="auto"/>
            <w:left w:val="none" w:sz="0" w:space="0" w:color="auto"/>
            <w:bottom w:val="none" w:sz="0" w:space="0" w:color="auto"/>
            <w:right w:val="none" w:sz="0" w:space="0" w:color="auto"/>
          </w:divBdr>
          <w:divsChild>
            <w:div w:id="496769708">
              <w:marLeft w:val="0"/>
              <w:marRight w:val="0"/>
              <w:marTop w:val="0"/>
              <w:marBottom w:val="0"/>
              <w:divBdr>
                <w:top w:val="none" w:sz="0" w:space="0" w:color="auto"/>
                <w:left w:val="none" w:sz="0" w:space="0" w:color="auto"/>
                <w:bottom w:val="none" w:sz="0" w:space="0" w:color="auto"/>
                <w:right w:val="none" w:sz="0" w:space="0" w:color="auto"/>
              </w:divBdr>
              <w:divsChild>
                <w:div w:id="897978246">
                  <w:marLeft w:val="0"/>
                  <w:marRight w:val="0"/>
                  <w:marTop w:val="0"/>
                  <w:marBottom w:val="0"/>
                  <w:divBdr>
                    <w:top w:val="none" w:sz="0" w:space="0" w:color="auto"/>
                    <w:left w:val="none" w:sz="0" w:space="0" w:color="auto"/>
                    <w:bottom w:val="none" w:sz="0" w:space="0" w:color="auto"/>
                    <w:right w:val="none" w:sz="0" w:space="0" w:color="auto"/>
                  </w:divBdr>
                  <w:divsChild>
                    <w:div w:id="1260798155">
                      <w:marLeft w:val="-225"/>
                      <w:marRight w:val="-225"/>
                      <w:marTop w:val="0"/>
                      <w:marBottom w:val="0"/>
                      <w:divBdr>
                        <w:top w:val="none" w:sz="0" w:space="0" w:color="auto"/>
                        <w:left w:val="none" w:sz="0" w:space="0" w:color="auto"/>
                        <w:bottom w:val="none" w:sz="0" w:space="0" w:color="auto"/>
                        <w:right w:val="none" w:sz="0" w:space="0" w:color="auto"/>
                      </w:divBdr>
                      <w:divsChild>
                        <w:div w:id="183911401">
                          <w:marLeft w:val="0"/>
                          <w:marRight w:val="0"/>
                          <w:marTop w:val="0"/>
                          <w:marBottom w:val="0"/>
                          <w:divBdr>
                            <w:top w:val="none" w:sz="0" w:space="0" w:color="auto"/>
                            <w:left w:val="none" w:sz="0" w:space="0" w:color="auto"/>
                            <w:bottom w:val="none" w:sz="0" w:space="0" w:color="auto"/>
                            <w:right w:val="none" w:sz="0" w:space="0" w:color="auto"/>
                          </w:divBdr>
                        </w:div>
                      </w:divsChild>
                    </w:div>
                    <w:div w:id="1657950712">
                      <w:marLeft w:val="-225"/>
                      <w:marRight w:val="-225"/>
                      <w:marTop w:val="0"/>
                      <w:marBottom w:val="0"/>
                      <w:divBdr>
                        <w:top w:val="none" w:sz="0" w:space="0" w:color="auto"/>
                        <w:left w:val="none" w:sz="0" w:space="0" w:color="auto"/>
                        <w:bottom w:val="none" w:sz="0" w:space="0" w:color="auto"/>
                        <w:right w:val="none" w:sz="0" w:space="0" w:color="auto"/>
                      </w:divBdr>
                      <w:divsChild>
                        <w:div w:id="989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9455">
          <w:marLeft w:val="0"/>
          <w:marRight w:val="0"/>
          <w:marTop w:val="2250"/>
          <w:marBottom w:val="0"/>
          <w:divBdr>
            <w:top w:val="none" w:sz="0" w:space="0" w:color="auto"/>
            <w:left w:val="none" w:sz="0" w:space="0" w:color="auto"/>
            <w:bottom w:val="none" w:sz="0" w:space="0" w:color="auto"/>
            <w:right w:val="none" w:sz="0" w:space="0" w:color="auto"/>
          </w:divBdr>
          <w:divsChild>
            <w:div w:id="94250733">
              <w:marLeft w:val="0"/>
              <w:marRight w:val="0"/>
              <w:marTop w:val="0"/>
              <w:marBottom w:val="0"/>
              <w:divBdr>
                <w:top w:val="none" w:sz="0" w:space="0" w:color="auto"/>
                <w:left w:val="none" w:sz="0" w:space="0" w:color="auto"/>
                <w:bottom w:val="none" w:sz="0" w:space="0" w:color="auto"/>
                <w:right w:val="none" w:sz="0" w:space="0" w:color="auto"/>
              </w:divBdr>
              <w:divsChild>
                <w:div w:id="1421291430">
                  <w:marLeft w:val="0"/>
                  <w:marRight w:val="0"/>
                  <w:marTop w:val="0"/>
                  <w:marBottom w:val="0"/>
                  <w:divBdr>
                    <w:top w:val="none" w:sz="0" w:space="0" w:color="auto"/>
                    <w:left w:val="none" w:sz="0" w:space="0" w:color="auto"/>
                    <w:bottom w:val="none" w:sz="0" w:space="0" w:color="auto"/>
                    <w:right w:val="none" w:sz="0" w:space="0" w:color="auto"/>
                  </w:divBdr>
                  <w:divsChild>
                    <w:div w:id="917207788">
                      <w:marLeft w:val="-225"/>
                      <w:marRight w:val="-225"/>
                      <w:marTop w:val="0"/>
                      <w:marBottom w:val="0"/>
                      <w:divBdr>
                        <w:top w:val="none" w:sz="0" w:space="0" w:color="auto"/>
                        <w:left w:val="none" w:sz="0" w:space="0" w:color="auto"/>
                        <w:bottom w:val="none" w:sz="0" w:space="0" w:color="auto"/>
                        <w:right w:val="none" w:sz="0" w:space="0" w:color="auto"/>
                      </w:divBdr>
                      <w:divsChild>
                        <w:div w:id="465202181">
                          <w:marLeft w:val="0"/>
                          <w:marRight w:val="0"/>
                          <w:marTop w:val="0"/>
                          <w:marBottom w:val="0"/>
                          <w:divBdr>
                            <w:top w:val="none" w:sz="0" w:space="0" w:color="auto"/>
                            <w:left w:val="none" w:sz="0" w:space="0" w:color="auto"/>
                            <w:bottom w:val="none" w:sz="0" w:space="0" w:color="auto"/>
                            <w:right w:val="none" w:sz="0" w:space="0" w:color="auto"/>
                          </w:divBdr>
                        </w:div>
                        <w:div w:id="2004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3377">
                  <w:marLeft w:val="0"/>
                  <w:marRight w:val="0"/>
                  <w:marTop w:val="0"/>
                  <w:marBottom w:val="0"/>
                  <w:divBdr>
                    <w:top w:val="none" w:sz="0" w:space="0" w:color="auto"/>
                    <w:left w:val="single" w:sz="6" w:space="11" w:color="FFFFFF"/>
                    <w:bottom w:val="none" w:sz="0" w:space="0" w:color="auto"/>
                    <w:right w:val="single" w:sz="6" w:space="11" w:color="FFFFFF"/>
                  </w:divBdr>
                </w:div>
              </w:divsChild>
            </w:div>
          </w:divsChild>
        </w:div>
      </w:divsChild>
    </w:div>
    <w:div w:id="18421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do?cidTexte=JORFTEXT000038565259&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8565246&amp;dateTexte=&amp;categorieLien=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S'TEAM TPE</dc:creator>
  <cp:keywords/>
  <dc:description/>
  <cp:lastModifiedBy>Contact ENTREPRISE</cp:lastModifiedBy>
  <cp:revision>7</cp:revision>
  <dcterms:created xsi:type="dcterms:W3CDTF">2021-10-15T09:56:00Z</dcterms:created>
  <dcterms:modified xsi:type="dcterms:W3CDTF">2021-12-01T13:44:00Z</dcterms:modified>
</cp:coreProperties>
</file>